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A4" w:rsidRDefault="00EF7DA4" w:rsidP="00EF7DA4">
      <w:pPr>
        <w:pStyle w:val="StandardWeb"/>
      </w:pPr>
      <w:r w:rsidRPr="00E9462B">
        <w:rPr>
          <w:noProof/>
        </w:rPr>
        <w:drawing>
          <wp:inline distT="0" distB="0" distL="0" distR="0" wp14:anchorId="25E8527D" wp14:editId="5CB15A9A">
            <wp:extent cx="5760720" cy="1117600"/>
            <wp:effectExtent l="0" t="0" r="0" b="6350"/>
            <wp:docPr id="3" name="Slika 3" descr="C:\Users\jdragic\Desktop\LOGO-FED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dragic\Desktop\LOGO-FED_20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176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1"/>
        <w:gridCol w:w="3015"/>
        <w:gridCol w:w="3046"/>
      </w:tblGrid>
      <w:tr w:rsidR="009D04EF" w:rsidRPr="009D04EF" w:rsidTr="009D04EF">
        <w:trPr>
          <w:tblCellSpacing w:w="15" w:type="dxa"/>
        </w:trPr>
        <w:tc>
          <w:tcPr>
            <w:tcW w:w="3075" w:type="dxa"/>
            <w:hideMark/>
          </w:tcPr>
          <w:p w:rsidR="009D04EF" w:rsidRPr="009D04EF" w:rsidRDefault="009D04EF" w:rsidP="009D04EF">
            <w:pPr>
              <w:spacing w:before="100" w:beforeAutospacing="1" w:after="100" w:afterAutospacing="1" w:line="240" w:lineRule="auto"/>
              <w:rPr>
                <w:rFonts w:ascii="Times New Roman" w:eastAsia="Times New Roman" w:hAnsi="Times New Roman" w:cs="Times New Roman"/>
                <w:sz w:val="24"/>
                <w:szCs w:val="24"/>
                <w:lang w:eastAsia="hr-HR"/>
              </w:rPr>
            </w:pPr>
            <w:r w:rsidRPr="009D04EF">
              <w:rPr>
                <w:rFonts w:ascii="Times-C" w:eastAsia="Times New Roman" w:hAnsi="Times-C" w:cs="Times New Roman"/>
                <w:b/>
                <w:bCs/>
                <w:color w:val="1F1A17"/>
                <w:sz w:val="20"/>
                <w:szCs w:val="20"/>
                <w:lang w:eastAsia="hr-HR"/>
              </w:rPr>
              <w:t xml:space="preserve">Godina </w:t>
            </w:r>
            <w:r w:rsidRPr="009D04EF">
              <w:rPr>
                <w:rFonts w:ascii="CC-Times Roman" w:eastAsia="Times New Roman" w:hAnsi="CC-Times Roman" w:cs="Times New Roman"/>
                <w:b/>
                <w:bCs/>
                <w:color w:val="1F1A17"/>
                <w:sz w:val="20"/>
                <w:szCs w:val="20"/>
                <w:lang w:eastAsia="hr-HR"/>
              </w:rPr>
              <w:t xml:space="preserve">XIII – </w:t>
            </w:r>
            <w:r w:rsidRPr="009D04EF">
              <w:rPr>
                <w:rFonts w:ascii="Times-C" w:eastAsia="Times New Roman" w:hAnsi="Times-C" w:cs="Times New Roman"/>
                <w:b/>
                <w:bCs/>
                <w:color w:val="1F1A17"/>
                <w:sz w:val="20"/>
                <w:szCs w:val="20"/>
                <w:lang w:eastAsia="hr-HR"/>
              </w:rPr>
              <w:t xml:space="preserve">Broj </w:t>
            </w:r>
            <w:r w:rsidRPr="009D04EF">
              <w:rPr>
                <w:rFonts w:ascii="CC-Times Roman" w:eastAsia="Times New Roman" w:hAnsi="CC-Times Roman" w:cs="Times New Roman"/>
                <w:b/>
                <w:bCs/>
                <w:color w:val="1F1A17"/>
                <w:sz w:val="20"/>
                <w:szCs w:val="20"/>
                <w:lang w:eastAsia="hr-HR"/>
              </w:rPr>
              <w:t>61 </w:t>
            </w:r>
            <w:r w:rsidRPr="009D04EF">
              <w:rPr>
                <w:rFonts w:ascii="CC-Times Roman" w:eastAsia="Times New Roman" w:hAnsi="CC-Times Roman" w:cs="Times New Roman"/>
                <w:color w:val="1F1A17"/>
                <w:sz w:val="20"/>
                <w:szCs w:val="20"/>
                <w:lang w:eastAsia="hr-HR"/>
              </w:rPr>
              <w:t xml:space="preserve"> </w:t>
            </w:r>
          </w:p>
        </w:tc>
        <w:tc>
          <w:tcPr>
            <w:tcW w:w="3075" w:type="dxa"/>
            <w:vAlign w:val="center"/>
            <w:hideMark/>
          </w:tcPr>
          <w:p w:rsidR="009D04EF" w:rsidRPr="009D04EF" w:rsidRDefault="009D04EF" w:rsidP="009D04E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D04EF">
              <w:rPr>
                <w:rFonts w:ascii="Times-C" w:eastAsia="Times New Roman" w:hAnsi="Times-C" w:cs="Times New Roman"/>
                <w:b/>
                <w:bCs/>
                <w:color w:val="1F1A17"/>
                <w:sz w:val="20"/>
                <w:szCs w:val="20"/>
                <w:lang w:eastAsia="hr-HR"/>
              </w:rPr>
              <w:t>Ponedjeqak, 16. 10. 2006. godine</w:t>
            </w:r>
            <w:r w:rsidRPr="009D04EF">
              <w:rPr>
                <w:rFonts w:ascii="Times-C" w:eastAsia="Times New Roman" w:hAnsi="Times-C" w:cs="Times New Roman"/>
                <w:b/>
                <w:bCs/>
                <w:color w:val="1F1A17"/>
                <w:sz w:val="20"/>
                <w:szCs w:val="20"/>
                <w:lang w:eastAsia="hr-HR"/>
              </w:rPr>
              <w:br/>
              <w:t>S A R A J E V O</w:t>
            </w:r>
            <w:r w:rsidRPr="009D04EF">
              <w:rPr>
                <w:rFonts w:ascii="Times-C" w:eastAsia="Times New Roman" w:hAnsi="Times-C" w:cs="Times New Roman"/>
                <w:color w:val="1F1A17"/>
                <w:sz w:val="20"/>
                <w:szCs w:val="20"/>
                <w:lang w:eastAsia="hr-HR"/>
              </w:rPr>
              <w:t xml:space="preserve">  </w:t>
            </w:r>
          </w:p>
        </w:tc>
        <w:tc>
          <w:tcPr>
            <w:tcW w:w="3120" w:type="dxa"/>
            <w:hideMark/>
          </w:tcPr>
          <w:p w:rsidR="009D04EF" w:rsidRPr="009D04EF" w:rsidRDefault="009D04EF" w:rsidP="009D04E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D04EF">
              <w:rPr>
                <w:rFonts w:ascii="CC-Times Roman" w:eastAsia="Times New Roman" w:hAnsi="CC-Times Roman" w:cs="Times New Roman"/>
                <w:b/>
                <w:bCs/>
                <w:color w:val="1F1A17"/>
                <w:sz w:val="20"/>
                <w:szCs w:val="20"/>
                <w:lang w:eastAsia="hr-HR"/>
              </w:rPr>
              <w:br/>
              <w:t>ISSN 1512-7079</w:t>
            </w:r>
            <w:bookmarkStart w:id="0" w:name="_GoBack"/>
            <w:bookmarkEnd w:id="0"/>
          </w:p>
        </w:tc>
      </w:tr>
    </w:tbl>
    <w:p w:rsidR="0089089F" w:rsidRPr="0089089F" w:rsidRDefault="0089089F" w:rsidP="0089089F">
      <w:pPr>
        <w:spacing w:after="0" w:line="240" w:lineRule="auto"/>
        <w:rPr>
          <w:rFonts w:ascii="Times New Roman" w:eastAsia="Times New Roman" w:hAnsi="Times New Roman" w:cs="Times New Roman"/>
          <w:sz w:val="24"/>
          <w:szCs w:val="24"/>
          <w:lang w:eastAsia="hr-HR"/>
        </w:rPr>
      </w:pPr>
      <w:r w:rsidRPr="0089089F">
        <w:rPr>
          <w:rFonts w:ascii="Times New Roman" w:eastAsia="Times New Roman" w:hAnsi="Times New Roman" w:cs="Times New Roman"/>
          <w:sz w:val="24"/>
          <w:szCs w:val="24"/>
          <w:lang w:eastAsia="hr-HR"/>
        </w:rPr>
        <w:pict>
          <v:rect id="_x0000_i1025" style="width:0;height:.75pt" o:hralign="center" o:hrstd="t" o:hr="t" fillcolor="#a0a0a0" stroked="f"/>
        </w:pict>
      </w:r>
    </w:p>
    <w:p w:rsidR="0089089F" w:rsidRDefault="0089089F" w:rsidP="0089089F">
      <w:pPr>
        <w:pStyle w:val="Naslov1"/>
      </w:pPr>
    </w:p>
    <w:p w:rsidR="0089089F" w:rsidRDefault="0089089F" w:rsidP="0089089F">
      <w:pPr>
        <w:rPr>
          <w:rFonts w:ascii="Tahoma" w:hAnsi="Tahoma" w:cs="Tahoma"/>
          <w:b/>
          <w:bCs/>
          <w:szCs w:val="27"/>
        </w:rPr>
      </w:pPr>
    </w:p>
    <w:p w:rsidR="009D04EF" w:rsidRDefault="009D04EF" w:rsidP="009D04EF">
      <w:pPr>
        <w:pStyle w:val="StandardWeb"/>
        <w:spacing w:before="0" w:beforeAutospacing="0" w:after="0" w:afterAutospacing="0"/>
        <w:jc w:val="center"/>
        <w:rPr>
          <w:rStyle w:val="Naglaeno"/>
          <w:rFonts w:ascii="Tahoma" w:hAnsi="Tahoma" w:cs="Tahoma"/>
          <w:sz w:val="22"/>
          <w:szCs w:val="27"/>
        </w:rPr>
      </w:pPr>
      <w:r>
        <w:rPr>
          <w:rStyle w:val="Naglaeno"/>
          <w:rFonts w:ascii="Tahoma" w:hAnsi="Tahoma" w:cs="Tahoma"/>
          <w:sz w:val="22"/>
          <w:szCs w:val="27"/>
        </w:rPr>
        <w:t>ZAKON</w:t>
      </w:r>
      <w:r>
        <w:rPr>
          <w:rFonts w:ascii="Tahoma" w:hAnsi="Tahoma" w:cs="Tahoma"/>
          <w:b/>
          <w:bCs/>
          <w:sz w:val="22"/>
          <w:szCs w:val="27"/>
        </w:rPr>
        <w:br/>
      </w:r>
      <w:r>
        <w:rPr>
          <w:rStyle w:val="Naglaeno"/>
          <w:rFonts w:ascii="Tahoma" w:hAnsi="Tahoma" w:cs="Tahoma"/>
          <w:sz w:val="22"/>
          <w:szCs w:val="27"/>
        </w:rPr>
        <w:t>O DOPUNAMA ZAKONA O KONCESIJAMA</w:t>
      </w:r>
    </w:p>
    <w:p w:rsidR="009D04EF" w:rsidRDefault="009D04EF" w:rsidP="009D04EF">
      <w:pPr>
        <w:pStyle w:val="StandardWeb"/>
        <w:spacing w:before="0" w:beforeAutospacing="0" w:after="0" w:afterAutospacing="0"/>
        <w:jc w:val="center"/>
        <w:rPr>
          <w:rFonts w:ascii="Tahoma" w:hAnsi="Tahoma" w:cs="Tahoma"/>
          <w:sz w:val="22"/>
        </w:rPr>
      </w:pPr>
    </w:p>
    <w:p w:rsidR="009D04EF" w:rsidRDefault="009D04EF" w:rsidP="009D04EF">
      <w:pPr>
        <w:pStyle w:val="StandardWeb"/>
        <w:spacing w:before="0" w:beforeAutospacing="0" w:after="0" w:afterAutospacing="0"/>
        <w:jc w:val="center"/>
        <w:rPr>
          <w:rFonts w:ascii="Tahoma" w:hAnsi="Tahoma" w:cs="Tahoma"/>
          <w:sz w:val="22"/>
        </w:rPr>
      </w:pPr>
      <w:r>
        <w:rPr>
          <w:rStyle w:val="Naglaeno"/>
          <w:rFonts w:ascii="Tahoma" w:hAnsi="Tahoma" w:cs="Tahoma"/>
          <w:sz w:val="22"/>
        </w:rPr>
        <w:t>Članak 1.</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t>U članku 5. Zakona o koncesijama («Službene novine Federacije BiH» broj: 40/02) dodaje se novi stavak 4 koji glasi:</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br/>
        <w:t>«U slučajevima kada Vlada Federacije odlučuje o dodjeli koncesije za određeno dobro na temelju članka 6. ovoga zakona, a kada se to dobro nalazi u cijelosti ili pretežito na području jedne općine, odnosno kada se posljedice dodjele koncesije odnose pretežito na tu općinu, odluku iz stavka 1. ovoga članka donosi Vlada Federacije na prijedlog resornoga ministra i uz prethodnu suglasnost općinskoga vijeća lokalne zajednice na čijem se području dodjeljuje koncesija».</w:t>
      </w:r>
    </w:p>
    <w:p w:rsidR="009D04EF" w:rsidRDefault="009D04EF" w:rsidP="009D04EF">
      <w:pPr>
        <w:pStyle w:val="StandardWeb"/>
        <w:spacing w:before="0" w:beforeAutospacing="0" w:after="0" w:afterAutospacing="0"/>
        <w:rPr>
          <w:rFonts w:ascii="Tahoma" w:hAnsi="Tahoma" w:cs="Tahoma"/>
          <w:sz w:val="22"/>
        </w:rPr>
      </w:pPr>
    </w:p>
    <w:p w:rsidR="009D04EF" w:rsidRDefault="009D04EF" w:rsidP="009D04EF">
      <w:pPr>
        <w:pStyle w:val="StandardWeb"/>
        <w:spacing w:before="0" w:beforeAutospacing="0" w:after="0" w:afterAutospacing="0"/>
        <w:jc w:val="center"/>
        <w:rPr>
          <w:rFonts w:ascii="Tahoma" w:hAnsi="Tahoma" w:cs="Tahoma"/>
          <w:sz w:val="22"/>
        </w:rPr>
      </w:pPr>
      <w:r>
        <w:rPr>
          <w:rStyle w:val="Naglaeno"/>
          <w:rFonts w:ascii="Tahoma" w:hAnsi="Tahoma" w:cs="Tahoma"/>
          <w:sz w:val="22"/>
        </w:rPr>
        <w:t>Članak 2.</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t>U članku 9. nakon stavka 2. dodaju se novi st. 3, 4 i 5 koji glase:</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br/>
        <w:t>«Kada se pokreće postupak za dodjelu koncesija sukladno članku 5. stavak 4. ovoga zakona, povjerenstvo iz stavka 1 ovoga članka broji devet članova. Sedam članova povjerenstva su stalni članovi, koji se imenuju sukladno članku 10. stavak 1. ovoga zakona, a dva promjenljiva člana imenuje resorni ministar s liste općinskoga vijeća na čijem se teritoriju nalazi predmet koncesije.</w:t>
      </w:r>
      <w:r>
        <w:rPr>
          <w:rFonts w:ascii="Tahoma" w:hAnsi="Tahoma" w:cs="Tahoma"/>
          <w:sz w:val="22"/>
        </w:rPr>
        <w:br/>
        <w:t>Lista općinskoga vijeća mora sadržiti najmanje šest istaknutih stručnjaka u lokalnoj sredini iz oblasti prava, ekonomije i inženjerstva i na njih se primjenjuju ograničenja predviđena u članku 10. stavak 4, 5 i 7».</w:t>
      </w:r>
    </w:p>
    <w:p w:rsidR="009D04EF" w:rsidRDefault="009D04EF" w:rsidP="009D04EF">
      <w:pPr>
        <w:pStyle w:val="StandardWeb"/>
        <w:spacing w:before="0" w:beforeAutospacing="0" w:after="0" w:afterAutospacing="0"/>
        <w:jc w:val="center"/>
        <w:rPr>
          <w:rFonts w:ascii="Tahoma" w:hAnsi="Tahoma" w:cs="Tahoma"/>
          <w:sz w:val="22"/>
        </w:rPr>
      </w:pPr>
    </w:p>
    <w:p w:rsidR="009D04EF" w:rsidRDefault="009D04EF" w:rsidP="009D04EF">
      <w:pPr>
        <w:pStyle w:val="StandardWeb"/>
        <w:spacing w:before="0" w:beforeAutospacing="0" w:after="0" w:afterAutospacing="0"/>
        <w:jc w:val="center"/>
        <w:rPr>
          <w:rStyle w:val="Naglaeno"/>
          <w:rFonts w:ascii="Tahoma" w:hAnsi="Tahoma" w:cs="Tahoma"/>
          <w:sz w:val="22"/>
        </w:rPr>
      </w:pPr>
      <w:r>
        <w:rPr>
          <w:rStyle w:val="Naglaeno"/>
          <w:rFonts w:ascii="Tahoma" w:hAnsi="Tahoma" w:cs="Tahoma"/>
          <w:sz w:val="22"/>
        </w:rPr>
        <w:t>Članak 3.</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t>U članku 12. dodaje se novi stavak 4. koji glasi:</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br/>
        <w:t>«Vlada Federacije utvrđuje visinu naknada i za promjenljive članove povjerenstva iz lokalne zajednice».</w:t>
      </w:r>
    </w:p>
    <w:p w:rsidR="009D04EF" w:rsidRDefault="009D04EF" w:rsidP="009D04EF">
      <w:pPr>
        <w:pStyle w:val="StandardWeb"/>
        <w:spacing w:before="0" w:beforeAutospacing="0" w:after="0" w:afterAutospacing="0"/>
        <w:jc w:val="center"/>
        <w:rPr>
          <w:rFonts w:ascii="Tahoma" w:hAnsi="Tahoma" w:cs="Tahoma"/>
          <w:sz w:val="22"/>
        </w:rPr>
      </w:pPr>
      <w:r>
        <w:rPr>
          <w:rFonts w:ascii="Tahoma" w:hAnsi="Tahoma" w:cs="Tahoma"/>
          <w:sz w:val="22"/>
        </w:rPr>
        <w:br/>
      </w:r>
      <w:r>
        <w:rPr>
          <w:rStyle w:val="Naglaeno"/>
          <w:rFonts w:ascii="Tahoma" w:hAnsi="Tahoma" w:cs="Tahoma"/>
          <w:sz w:val="22"/>
        </w:rPr>
        <w:t>Članak 4.</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t>U članku 15. stavak 1. na kraju rečenice briše se točka i dodaje tekst: «i proračunima općina iz kojih su imenovani promjenljivi članovi».</w:t>
      </w:r>
    </w:p>
    <w:p w:rsidR="009D04EF" w:rsidRDefault="009D04EF" w:rsidP="009D04EF">
      <w:pPr>
        <w:pStyle w:val="StandardWeb"/>
        <w:spacing w:before="0" w:beforeAutospacing="0" w:after="0" w:afterAutospacing="0"/>
        <w:jc w:val="center"/>
        <w:rPr>
          <w:rFonts w:ascii="Tahoma" w:hAnsi="Tahoma" w:cs="Tahoma"/>
          <w:sz w:val="22"/>
        </w:rPr>
      </w:pPr>
      <w:r>
        <w:rPr>
          <w:rFonts w:ascii="Tahoma" w:hAnsi="Tahoma" w:cs="Tahoma"/>
          <w:sz w:val="22"/>
        </w:rPr>
        <w:br/>
      </w:r>
      <w:r>
        <w:rPr>
          <w:rStyle w:val="Naglaeno"/>
          <w:rFonts w:ascii="Tahoma" w:hAnsi="Tahoma" w:cs="Tahoma"/>
          <w:sz w:val="22"/>
        </w:rPr>
        <w:t>Članak 5.</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t>U članku 21. u stavku 1. iza druge alineje dodaje se nova koja glasi:</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lastRenderedPageBreak/>
        <w:br/>
        <w:t>«-utvrđuje način donošenja odluka povjerenstva kada odlučuje u slučajevima predviđenim člankom 5. stavak 4».</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br/>
        <w:t>Dosadašnje alineje 3, 4, 5 i 6 u članku 21. stavak 1. postaju alineje 4, 5, 6 i 7».</w:t>
      </w:r>
    </w:p>
    <w:p w:rsidR="009D04EF" w:rsidRDefault="009D04EF" w:rsidP="009D04EF">
      <w:pPr>
        <w:pStyle w:val="StandardWeb"/>
        <w:spacing w:before="0" w:beforeAutospacing="0" w:after="0" w:afterAutospacing="0"/>
        <w:jc w:val="center"/>
        <w:rPr>
          <w:rFonts w:ascii="Tahoma" w:hAnsi="Tahoma" w:cs="Tahoma"/>
          <w:sz w:val="22"/>
        </w:rPr>
      </w:pPr>
      <w:r>
        <w:rPr>
          <w:rFonts w:ascii="Tahoma" w:hAnsi="Tahoma" w:cs="Tahoma"/>
          <w:sz w:val="22"/>
        </w:rPr>
        <w:br/>
      </w:r>
      <w:r>
        <w:rPr>
          <w:rStyle w:val="Naglaeno"/>
          <w:rFonts w:ascii="Tahoma" w:hAnsi="Tahoma" w:cs="Tahoma"/>
          <w:sz w:val="22"/>
        </w:rPr>
        <w:t>Članak 6.</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t>Ovaj zakon stupa na snagu narednoga dana od dana objave u «Službenim novinama Federacije BiH».</w:t>
      </w:r>
    </w:p>
    <w:p w:rsidR="009D04EF" w:rsidRDefault="009D04EF" w:rsidP="009D04EF">
      <w:pPr>
        <w:pStyle w:val="StandardWeb"/>
        <w:spacing w:before="0" w:beforeAutospacing="0" w:after="0" w:afterAutospacing="0"/>
        <w:rPr>
          <w:rFonts w:ascii="Tahoma" w:hAnsi="Tahoma" w:cs="Tahoma"/>
          <w:sz w:val="22"/>
        </w:rPr>
      </w:pPr>
      <w:r>
        <w:rPr>
          <w:rFonts w:ascii="Tahoma" w:hAnsi="Tahoma" w:cs="Tahoma"/>
          <w:sz w:val="22"/>
        </w:rPr>
        <w:t> </w:t>
      </w:r>
    </w:p>
    <w:p w:rsidR="009D04EF" w:rsidRPr="00F14D2B" w:rsidRDefault="009D04EF" w:rsidP="009D04EF">
      <w:pPr>
        <w:pStyle w:val="StandardWeb"/>
        <w:spacing w:before="0" w:beforeAutospacing="0" w:after="0" w:afterAutospacing="0"/>
        <w:jc w:val="center"/>
        <w:rPr>
          <w:rFonts w:ascii="Tahoma" w:hAnsi="Tahoma" w:cs="Tahoma"/>
          <w:sz w:val="20"/>
        </w:rPr>
      </w:pPr>
      <w:r w:rsidRPr="00F14D2B">
        <w:rPr>
          <w:rFonts w:ascii="Tahoma" w:hAnsi="Tahoma" w:cs="Tahoma"/>
          <w:sz w:val="20"/>
        </w:rPr>
        <w:t>PREDSJEDATELJ                                            PREDSJEDATELJ</w:t>
      </w:r>
      <w:r w:rsidRPr="00F14D2B">
        <w:rPr>
          <w:rFonts w:ascii="Tahoma" w:hAnsi="Tahoma" w:cs="Tahoma"/>
          <w:sz w:val="20"/>
        </w:rPr>
        <w:br/>
        <w:t>DOMA NARODA                                                ZASTUPNIČKOG DOMA</w:t>
      </w:r>
      <w:r w:rsidRPr="00F14D2B">
        <w:rPr>
          <w:rFonts w:ascii="Tahoma" w:hAnsi="Tahoma" w:cs="Tahoma"/>
          <w:sz w:val="20"/>
        </w:rPr>
        <w:br/>
        <w:t>PARLAMENTA FEDERACIJE BiH                 PARLAMENTA FEDERACIJE BiH</w:t>
      </w:r>
    </w:p>
    <w:p w:rsidR="009D04EF" w:rsidRPr="00F14D2B" w:rsidRDefault="009D04EF" w:rsidP="009D04EF">
      <w:pPr>
        <w:pStyle w:val="StandardWeb"/>
        <w:spacing w:before="0" w:beforeAutospacing="0" w:after="0" w:afterAutospacing="0"/>
        <w:jc w:val="center"/>
        <w:rPr>
          <w:rFonts w:ascii="Tahoma" w:hAnsi="Tahoma" w:cs="Tahoma"/>
          <w:sz w:val="20"/>
        </w:rPr>
      </w:pPr>
      <w:r w:rsidRPr="00F14D2B">
        <w:rPr>
          <w:rFonts w:ascii="Tahoma" w:hAnsi="Tahoma" w:cs="Tahoma"/>
          <w:sz w:val="20"/>
        </w:rPr>
        <w:t>Slavko Matić                                                       Muhamed Ibrahimović</w:t>
      </w:r>
    </w:p>
    <w:p w:rsidR="00EB31BB" w:rsidRDefault="00EB31BB" w:rsidP="0089089F">
      <w:pPr>
        <w:pStyle w:val="StandardWeb"/>
      </w:pPr>
    </w:p>
    <w:sectPr w:rsidR="00EB3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
    <w:altName w:val="Times New Roman"/>
    <w:panose1 w:val="00000000000000000000"/>
    <w:charset w:val="00"/>
    <w:family w:val="roman"/>
    <w:notTrueType/>
    <w:pitch w:val="default"/>
  </w:font>
  <w:font w:name="CC-Times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A4"/>
    <w:rsid w:val="00202711"/>
    <w:rsid w:val="004D7490"/>
    <w:rsid w:val="0089089F"/>
    <w:rsid w:val="009D04EF"/>
    <w:rsid w:val="00EB31BB"/>
    <w:rsid w:val="00EF7D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11A4B-67B1-485A-AA2B-5C4F7D7A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89089F"/>
    <w:pPr>
      <w:keepNext/>
      <w:spacing w:after="0" w:line="240" w:lineRule="auto"/>
      <w:jc w:val="right"/>
      <w:outlineLvl w:val="0"/>
    </w:pPr>
    <w:rPr>
      <w:rFonts w:ascii="Tahoma" w:eastAsia="Times New Roman" w:hAnsi="Tahoma" w:cs="Tahoma"/>
      <w:i/>
      <w:iCs/>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EF7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0000">
    <w:name w:val="x0000"/>
    <w:basedOn w:val="Normal"/>
    <w:rsid w:val="00EF7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
    <w:name w:val="x"/>
    <w:basedOn w:val="Normal"/>
    <w:rsid w:val="00EF7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
    <w:name w:val="xl"/>
    <w:basedOn w:val="Normal"/>
    <w:rsid w:val="00EF7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0">
    <w:name w:val="x0"/>
    <w:basedOn w:val="Normal"/>
    <w:rsid w:val="00EF7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vucia">
    <w:name w:val="uvucia"/>
    <w:basedOn w:val="Normal"/>
    <w:rsid w:val="00EF7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vuci">
    <w:name w:val="uvuci"/>
    <w:basedOn w:val="Normal"/>
    <w:rsid w:val="00EF7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00">
    <w:name w:val="x00"/>
    <w:basedOn w:val="Normal"/>
    <w:rsid w:val="00EF7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000">
    <w:name w:val="x000"/>
    <w:basedOn w:val="Normal"/>
    <w:rsid w:val="00EF7D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laval">
    <w:name w:val="glaval"/>
    <w:basedOn w:val="Normal"/>
    <w:rsid w:val="00EF7DA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89089F"/>
    <w:rPr>
      <w:rFonts w:ascii="Tahoma" w:eastAsia="Times New Roman" w:hAnsi="Tahoma" w:cs="Tahoma"/>
      <w:i/>
      <w:iCs/>
      <w:szCs w:val="27"/>
      <w:lang w:eastAsia="hr-HR"/>
    </w:rPr>
  </w:style>
  <w:style w:type="character" w:styleId="Naglaeno">
    <w:name w:val="Strong"/>
    <w:basedOn w:val="Zadanifontodlomka"/>
    <w:qFormat/>
    <w:rsid w:val="009D0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3599">
      <w:bodyDiv w:val="1"/>
      <w:marLeft w:val="0"/>
      <w:marRight w:val="0"/>
      <w:marTop w:val="0"/>
      <w:marBottom w:val="0"/>
      <w:divBdr>
        <w:top w:val="none" w:sz="0" w:space="0" w:color="auto"/>
        <w:left w:val="none" w:sz="0" w:space="0" w:color="auto"/>
        <w:bottom w:val="none" w:sz="0" w:space="0" w:color="auto"/>
        <w:right w:val="none" w:sz="0" w:space="0" w:color="auto"/>
      </w:divBdr>
    </w:div>
    <w:div w:id="538978237">
      <w:bodyDiv w:val="1"/>
      <w:marLeft w:val="0"/>
      <w:marRight w:val="0"/>
      <w:marTop w:val="0"/>
      <w:marBottom w:val="0"/>
      <w:divBdr>
        <w:top w:val="none" w:sz="0" w:space="0" w:color="auto"/>
        <w:left w:val="none" w:sz="0" w:space="0" w:color="auto"/>
        <w:bottom w:val="none" w:sz="0" w:space="0" w:color="auto"/>
        <w:right w:val="none" w:sz="0" w:space="0" w:color="auto"/>
      </w:divBdr>
    </w:div>
    <w:div w:id="880477879">
      <w:bodyDiv w:val="1"/>
      <w:marLeft w:val="0"/>
      <w:marRight w:val="0"/>
      <w:marTop w:val="0"/>
      <w:marBottom w:val="0"/>
      <w:divBdr>
        <w:top w:val="none" w:sz="0" w:space="0" w:color="auto"/>
        <w:left w:val="none" w:sz="0" w:space="0" w:color="auto"/>
        <w:bottom w:val="none" w:sz="0" w:space="0" w:color="auto"/>
        <w:right w:val="none" w:sz="0" w:space="0" w:color="auto"/>
      </w:divBdr>
    </w:div>
    <w:div w:id="1030956755">
      <w:bodyDiv w:val="1"/>
      <w:marLeft w:val="0"/>
      <w:marRight w:val="0"/>
      <w:marTop w:val="0"/>
      <w:marBottom w:val="0"/>
      <w:divBdr>
        <w:top w:val="none" w:sz="0" w:space="0" w:color="auto"/>
        <w:left w:val="none" w:sz="0" w:space="0" w:color="auto"/>
        <w:bottom w:val="none" w:sz="0" w:space="0" w:color="auto"/>
        <w:right w:val="none" w:sz="0" w:space="0" w:color="auto"/>
      </w:divBdr>
    </w:div>
    <w:div w:id="1092775960">
      <w:bodyDiv w:val="1"/>
      <w:marLeft w:val="0"/>
      <w:marRight w:val="0"/>
      <w:marTop w:val="0"/>
      <w:marBottom w:val="0"/>
      <w:divBdr>
        <w:top w:val="none" w:sz="0" w:space="0" w:color="auto"/>
        <w:left w:val="none" w:sz="0" w:space="0" w:color="auto"/>
        <w:bottom w:val="none" w:sz="0" w:space="0" w:color="auto"/>
        <w:right w:val="none" w:sz="0" w:space="0" w:color="auto"/>
      </w:divBdr>
    </w:div>
    <w:div w:id="1101610225">
      <w:bodyDiv w:val="1"/>
      <w:marLeft w:val="0"/>
      <w:marRight w:val="0"/>
      <w:marTop w:val="0"/>
      <w:marBottom w:val="0"/>
      <w:divBdr>
        <w:top w:val="none" w:sz="0" w:space="0" w:color="auto"/>
        <w:left w:val="none" w:sz="0" w:space="0" w:color="auto"/>
        <w:bottom w:val="none" w:sz="0" w:space="0" w:color="auto"/>
        <w:right w:val="none" w:sz="0" w:space="0" w:color="auto"/>
      </w:divBdr>
    </w:div>
    <w:div w:id="1347053508">
      <w:bodyDiv w:val="1"/>
      <w:marLeft w:val="0"/>
      <w:marRight w:val="0"/>
      <w:marTop w:val="0"/>
      <w:marBottom w:val="0"/>
      <w:divBdr>
        <w:top w:val="none" w:sz="0" w:space="0" w:color="auto"/>
        <w:left w:val="none" w:sz="0" w:space="0" w:color="auto"/>
        <w:bottom w:val="none" w:sz="0" w:space="0" w:color="auto"/>
        <w:right w:val="none" w:sz="0" w:space="0" w:color="auto"/>
      </w:divBdr>
    </w:div>
    <w:div w:id="1429039075">
      <w:bodyDiv w:val="1"/>
      <w:marLeft w:val="0"/>
      <w:marRight w:val="0"/>
      <w:marTop w:val="0"/>
      <w:marBottom w:val="0"/>
      <w:divBdr>
        <w:top w:val="none" w:sz="0" w:space="0" w:color="auto"/>
        <w:left w:val="none" w:sz="0" w:space="0" w:color="auto"/>
        <w:bottom w:val="none" w:sz="0" w:space="0" w:color="auto"/>
        <w:right w:val="none" w:sz="0" w:space="0" w:color="auto"/>
      </w:divBdr>
    </w:div>
    <w:div w:id="18784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aslov xmlns="46f7259b-2053-4bea-bbad-b4abf0b116b7">Zakon o dopuni Zakona o koncesijama - broj 61 06</Naslov>
    <Kategorija xmlns="46f7259b-2053-4bea-bbad-b4abf0b116b7">Koncesije</Kategorija>
    <Br_x002e_Slu_x017e_benih_x0020_Novina xmlns="46f7259b-2053-4bea-bbad-b4abf0b116b7">61</Br_x002e_Slu_x017e_benih_x0020_Novina>
    <Godina_x0020_Slu_x017e_benih_x0020_Novina xmlns="46f7259b-2053-4bea-bbad-b4abf0b116b7">2006</Godina_x0020_Slu_x017e_benih_x0020_Novina>
    <Verzija xmlns="46f7259b-2053-4bea-bbad-b4abf0b116b7">Zakon o Dopuni</Verzija>
    <Van_x0020_snage xmlns="46f7259b-2053-4bea-bbad-b4abf0b116b7">false</Van_x0020_sn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7AB4EAD6F0B046A1AEB47A5DEB5605" ma:contentTypeVersion="6" ma:contentTypeDescription="Stvaranje novog dokumenta." ma:contentTypeScope="" ma:versionID="34bdaecafa2bf3cca3e85a54a0533deb">
  <xsd:schema xmlns:xsd="http://www.w3.org/2001/XMLSchema" xmlns:xs="http://www.w3.org/2001/XMLSchema" xmlns:p="http://schemas.microsoft.com/office/2006/metadata/properties" xmlns:ns2="46f7259b-2053-4bea-bbad-b4abf0b116b7" targetNamespace="http://schemas.microsoft.com/office/2006/metadata/properties" ma:root="true" ma:fieldsID="a24a06b40c4dee42173926dc549417f1" ns2:_="">
    <xsd:import namespace="46f7259b-2053-4bea-bbad-b4abf0b116b7"/>
    <xsd:element name="properties">
      <xsd:complexType>
        <xsd:sequence>
          <xsd:element name="documentManagement">
            <xsd:complexType>
              <xsd:all>
                <xsd:element ref="ns2:Kategorija"/>
                <xsd:element ref="ns2:Verzija" minOccurs="0"/>
                <xsd:element ref="ns2:Br_x002e_Slu_x017e_benih_x0020_Novina" minOccurs="0"/>
                <xsd:element ref="ns2:Godina_x0020_Slu_x017e_benih_x0020_Novina" minOccurs="0"/>
                <xsd:element ref="ns2:Naslov" minOccurs="0"/>
                <xsd:element ref="ns2:Van_x0020_sn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259b-2053-4bea-bbad-b4abf0b116b7" elementFormDefault="qualified">
    <xsd:import namespace="http://schemas.microsoft.com/office/2006/documentManagement/types"/>
    <xsd:import namespace="http://schemas.microsoft.com/office/infopath/2007/PartnerControls"/>
    <xsd:element name="Kategorija" ma:index="8" ma:displayName="Kategorija" ma:format="Dropdown" ma:internalName="Kategorija">
      <xsd:simpleType>
        <xsd:restriction base="dms:Choice">
          <xsd:enumeration value="Električna Energija"/>
          <xsd:enumeration value="Gospodarska Društva"/>
          <xsd:enumeration value="Izvlaštenja"/>
          <xsd:enumeration value="Javna Poduzeća"/>
          <xsd:enumeration value="Javne Nabave"/>
          <xsd:enumeration value="Klasifikacija djelatnosti i zanimanja FBiH"/>
          <xsd:enumeration value="Koncesije"/>
          <xsd:enumeration value="Radni Odnosi"/>
          <xsd:enumeration value="Revizija"/>
          <xsd:enumeration value="Stvarna Prava"/>
          <xsd:enumeration value="Udruge i Fondacije"/>
        </xsd:restriction>
      </xsd:simpleType>
    </xsd:element>
    <xsd:element name="Verzija" ma:index="9" nillable="true" ma:displayName="Verzija" ma:format="Dropdown" ma:internalName="Verzija">
      <xsd:simpleType>
        <xsd:restriction base="dms:Choice">
          <xsd:enumeration value="Akcijski Plan"/>
          <xsd:enumeration value="Ispravka Pravilnika"/>
          <xsd:enumeration value="Ispravka zakona o izmjeni i dopuni"/>
          <xsd:enumeration value="Naputak"/>
          <xsd:enumeration value="Naputak o izmjeni"/>
          <xsd:enumeration value="Odluka"/>
          <xsd:enumeration value="Pravilnik"/>
          <xsd:enumeration value="Pravilnik o izmjeni i dopuni"/>
          <xsd:enumeration value="Statut"/>
          <xsd:enumeration value="Uredba"/>
          <xsd:enumeration value="Uredba o izmjeni"/>
          <xsd:enumeration value="Uredba o izmjeni i dopuni"/>
          <xsd:enumeration value="Zakon"/>
          <xsd:enumeration value="Zakon o izmjeni"/>
          <xsd:enumeration value="Zakon o Dopuni"/>
          <xsd:enumeration value="Zakon o izmjeni i dopuni"/>
        </xsd:restriction>
      </xsd:simpleType>
    </xsd:element>
    <xsd:element name="Br_x002e_Slu_x017e_benih_x0020_Novina" ma:index="10" nillable="true" ma:displayName="Br.Službenih Novina" ma:decimals="0" ma:internalName="Br_x002e_Slu_x017e_benih_x0020_Novina">
      <xsd:simpleType>
        <xsd:restriction base="dms:Number"/>
      </xsd:simpleType>
    </xsd:element>
    <xsd:element name="Godina_x0020_Slu_x017e_benih_x0020_Novina" ma:index="11" nillable="true" ma:displayName="Godina Službenih Novina" ma:decimals="0" ma:internalName="Godina_x0020_Slu_x017e_benih_x0020_Novina">
      <xsd:simpleType>
        <xsd:restriction base="dms:Number"/>
      </xsd:simpleType>
    </xsd:element>
    <xsd:element name="Naslov" ma:index="12" nillable="true" ma:displayName="Naslov" ma:internalName="Naslov">
      <xsd:simpleType>
        <xsd:restriction base="dms:Text">
          <xsd:maxLength value="255"/>
        </xsd:restriction>
      </xsd:simpleType>
    </xsd:element>
    <xsd:element name="Van_x0020_snage" ma:index="13" nillable="true" ma:displayName="Van snage" ma:default="0" ma:description="Jeli dokument van snage." ma:internalName="Van_x0020_sn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3DFD1-5F9A-48B6-8448-8B52FC734875}"/>
</file>

<file path=customXml/itemProps2.xml><?xml version="1.0" encoding="utf-8"?>
<ds:datastoreItem xmlns:ds="http://schemas.openxmlformats.org/officeDocument/2006/customXml" ds:itemID="{3D73AA67-8449-490B-B413-DF4D50B273C5}"/>
</file>

<file path=customXml/itemProps3.xml><?xml version="1.0" encoding="utf-8"?>
<ds:datastoreItem xmlns:ds="http://schemas.openxmlformats.org/officeDocument/2006/customXml" ds:itemID="{16DEC9B6-13DD-4578-A0C2-31247B14C8D5}"/>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Dragić</dc:creator>
  <cp:keywords/>
  <dc:description/>
  <cp:lastModifiedBy>Josip Dragić</cp:lastModifiedBy>
  <cp:revision>2</cp:revision>
  <dcterms:created xsi:type="dcterms:W3CDTF">2015-03-09T11:34:00Z</dcterms:created>
  <dcterms:modified xsi:type="dcterms:W3CDTF">2015-03-09T11:34:00Z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0x010100DE7AB4EAD6F0B046A1AEB47A5DEB5605</vt:lpwstr>
  </property>
</Properties>
</file>